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附件2</w:t>
      </w:r>
    </w:p>
    <w:p>
      <w:pPr>
        <w:spacing w:line="7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工程造价咨询成果文件质量评定表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企业名称：                             企业地址：                       评审人员</w:t>
      </w:r>
      <w:r>
        <w:rPr>
          <w:rFonts w:ascii="Times New Roman" w:hAnsi="Times New Roman"/>
          <w:color w:val="000000"/>
          <w:sz w:val="18"/>
          <w:szCs w:val="18"/>
        </w:rPr>
        <w:t>（签字）</w:t>
      </w:r>
      <w:r>
        <w:rPr>
          <w:rFonts w:ascii="Times New Roman" w:hAnsi="Times New Roman"/>
          <w:szCs w:val="21"/>
        </w:rPr>
        <w:t>：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项目名称：                             项目地址：                       执法人员</w:t>
      </w:r>
      <w:r>
        <w:rPr>
          <w:rFonts w:ascii="Times New Roman" w:hAnsi="Times New Roman"/>
          <w:color w:val="000000"/>
          <w:sz w:val="18"/>
          <w:szCs w:val="18"/>
        </w:rPr>
        <w:t>（签字）</w:t>
      </w:r>
      <w:r>
        <w:rPr>
          <w:rFonts w:ascii="Times New Roman" w:hAnsi="Times New Roman"/>
          <w:szCs w:val="21"/>
        </w:rPr>
        <w:t>：                  评审时间：</w:t>
      </w:r>
    </w:p>
    <w:tbl>
      <w:tblPr>
        <w:tblStyle w:val="4"/>
        <w:tblW w:w="12980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640"/>
        <w:gridCol w:w="1080"/>
        <w:gridCol w:w="9100"/>
        <w:gridCol w:w="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46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类别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工程造价咨询企业成果文件评定内容及标准（60分）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1.项目人员配置</w:t>
            </w:r>
          </w:p>
        </w:tc>
        <w:tc>
          <w:tcPr>
            <w:tcW w:w="64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有人员名单且配置合理的得满分。有下列情形之一的扣分：</w:t>
            </w:r>
          </w:p>
        </w:tc>
        <w:tc>
          <w:tcPr>
            <w:tcW w:w="700" w:type="dxa"/>
            <w:vMerge w:val="restart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1．无人员配置的扣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 5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vMerge w:val="continue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2.人员中无注册造价工程师的扣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 3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vMerge w:val="continue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2.工作方案</w:t>
            </w:r>
          </w:p>
        </w:tc>
        <w:tc>
          <w:tcPr>
            <w:tcW w:w="640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咨询项目的工作方案编制合理，内容完整、操作人员配备适当的得满分。有下列情形之一的扣分：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1．未编制工作方案的扣 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 5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2．工作方案内容不完整的扣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2.5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分（本扣分项应说明扣分原因）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3.业务操作</w:t>
            </w:r>
          </w:p>
        </w:tc>
        <w:tc>
          <w:tcPr>
            <w:tcW w:w="640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工程量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清单</w:t>
            </w: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工程量清单作为招标文件的组成部分由分部分项工程量清单、措施项目清单、其他项目清单、规费和税金项目清单组成，应具备准确性和完整性，符合《建设工程工程量清单计价规范》和河南省现行计价依据规定。有下列情形之一的扣分：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1．编制工程量清单如出现工程量或计量单位有误、单价不合理、项目漏项、项目特征及工程内容不明确、项目编码、项目名称等不符合计价规范和我省计价依据要求的，每发现一处扣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2.5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2．措施项目清单未按计价规范、我省计价依据列出明细的，每发现一处扣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3．其他项目清单未按计价规范、我省计价依据列出明细（暂列金额、材料暂估价、专业工程暂估价、计日工、总承包服务费）的，每发现一处扣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4．规费和税金项目清单未按计价规范、我省计价依据列出明细（社会保障费、住房公积金、工伤保险、税金）的，每发现一处扣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5．每发现一处具有虚假记载、误导性陈述的扣 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招标控制价</w:t>
            </w: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招标控制价应根据招标文件、计价规范、我省现行计价依据、现场情况特点等依据进行编制，不应上浮或下调。有下列情形之一的扣分：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1．采用的计价定额、套用子目、计价程序、取费基数出现错误的，每发现一处扣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1.5 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 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2．安全文明施工费未按我省相关规定进行计算的扣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 2.5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3．规费未按我省相关规定进行计算的扣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 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4．税金未按我省相关规定进行计算的扣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1.5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5．使用国有资金投资、清单招标的工程未采用工程量清单综合单价计价的扣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 2.5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6．每发现一处具有虚假记载、误导性陈述的扣 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 1.5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7．其他项目未按工程量清单填写的，每发现一处扣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1.5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投标</w:t>
            </w: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投标报价必须按照工程量清单填报价格，不得低于工程成本。应根据招标文件、项目情况特点、企业情况、企业或我省计价依据等进行编制。有下列情形之一的扣分：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报价</w:t>
            </w: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1．安全文明施工费未按我省相关规定进行计算的扣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2.5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2．规费未按我省相关规定进行计算的扣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 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3．税金未按我省相关规定进行计算的扣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4．其他项目未按工程量清单填写的，每发现一处扣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 1.5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5．每发现一处具有虚假记载、误导性陈述的扣 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施工图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预算</w:t>
            </w: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施工图预算应根据招标文件、计价规范、我省现行计价依据、施工图纸、现场情况特点等依据进行编制，不应上浮或下调。有下列情形之一的扣分：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1．采用的计价定额、套用子目、计价程序、取费基数出现错误的，每发现一处扣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2.5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 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2．安全文明施工费未按我省相关规定进行计算的扣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2.5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3．规费未按我省相关规定进行计算的扣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 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4．税金未按我省相关规定进行计算的扣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5．每发现一处具有虚假记载、误导性陈述的扣 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1.5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竣工结算阶段</w:t>
            </w: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1．竣工结算计价方式与施工合同的约定不符，重要的设计变更、工程签证的手续不完备或与实际竣工项目状况不一致，并未就此向委托方提出合理化建议的，每发现一处扣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2.5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2．工程变更价款的确定、材料价差调整不符合有关规定，取费程序、取费基数、取费标准有误的，每发现一处扣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2.5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 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3．工期、工程索赔的计价不合理或缺乏相应的证据支持的，每发现一处扣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1.5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 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4．主要材料价格确定有误，每发现一处扣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2.5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5．审核报告没有说明主要增减原因的扣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2.5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4.业务审（校）核</w:t>
            </w:r>
          </w:p>
        </w:tc>
        <w:tc>
          <w:tcPr>
            <w:tcW w:w="640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咨询成果文件的审（校）核记录完整、内容全面，审（校）核人员资格符合规定，审查方法得当，审查结果有据可查的得满分。有下列情形之一的扣分：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1.不能提供造价咨询项目审（校）记录的扣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 5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2.咨询成果文件编制、审（校）核为同一个人的扣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 2.5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5.咨询成果</w:t>
            </w:r>
          </w:p>
        </w:tc>
        <w:tc>
          <w:tcPr>
            <w:tcW w:w="640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咨询成果文件的格式、内容、深度符合国家及行业相关规定，满足合同约定的得满分，有下列情形之一的扣分：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1.咨询成果文件的格式不符合要求的扣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5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分（本扣分项应说明扣分原因）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2.咨询成果文件的内容不符合要求的扣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2.5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分（本扣分项应说明扣分原因）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3.咨询成果文件超资质的扣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46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6.咨询成果归档</w:t>
            </w:r>
          </w:p>
        </w:tc>
        <w:tc>
          <w:tcPr>
            <w:tcW w:w="640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180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工程造价咨询企业建立和健全了档案管理制度，咨询成果文件的收集、整理、留存和归档符合行业规定的得满分。有下列情形之一的扣分：</w:t>
            </w:r>
          </w:p>
        </w:tc>
        <w:tc>
          <w:tcPr>
            <w:tcW w:w="700" w:type="dxa"/>
            <w:vMerge w:val="restart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1.未上传成果文件，扣10分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2.应上传XML文件的未上传的扣8分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6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3.每发现一处应上传立卷标准归档资料未上传扣2份，最多扣10分。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8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00" w:type="dxa"/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45FAF"/>
    <w:rsid w:val="17F45FAF"/>
    <w:rsid w:val="5C7931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outlineLvl w:val="0"/>
    </w:pPr>
    <w:rPr>
      <w:rFonts w:ascii="Times New Roman" w:hAnsi="Times New Roman" w:eastAsia="仿宋" w:cs="Times New Roman"/>
      <w:kern w:val="44"/>
      <w:sz w:val="28"/>
      <w:szCs w:val="20"/>
      <w:lang w:val="zh-CN" w:bidi="zh-CN"/>
    </w:rPr>
  </w:style>
  <w:style w:type="character" w:default="1" w:styleId="5">
    <w:name w:val="Default Paragraph Font"/>
    <w:link w:val="6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basedOn w:val="1"/>
    <w:qFormat/>
    <w:uiPriority w:val="1"/>
    <w:pPr>
      <w:spacing w:after="0" w:line="400" w:lineRule="exact"/>
    </w:pPr>
    <w:rPr>
      <w:rFonts w:eastAsia="仿宋"/>
      <w:sz w:val="24"/>
    </w:rPr>
  </w:style>
  <w:style w:type="paragraph" w:customStyle="1" w:styleId="6">
    <w:name w:val="Char"/>
    <w:basedOn w:val="1"/>
    <w:link w:val="5"/>
    <w:qFormat/>
    <w:uiPriority w:val="0"/>
  </w:style>
  <w:style w:type="character" w:customStyle="1" w:styleId="7">
    <w:name w:val="标题 1 Char"/>
    <w:basedOn w:val="5"/>
    <w:link w:val="3"/>
    <w:qFormat/>
    <w:uiPriority w:val="0"/>
    <w:rPr>
      <w:rFonts w:ascii="Times New Roman" w:hAnsi="Times New Roman" w:eastAsia="仿宋" w:cs="Times New Roman"/>
      <w:kern w:val="44"/>
      <w:sz w:val="28"/>
      <w:szCs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2019-09-23T09:43:00Z</dcterms:created>
  <dc:creator>o水晶</dc:creator>
  <cp:lastModifiedBy>o水晶</cp:lastModifiedBy>
  <dcterms:modified xsi:type="dcterms:W3CDTF">2019-09-23T09:44:26Z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2052-11.1.0.9005</vt:lpwstr>
  </property>
</Properties>
</file>