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sz w:val="32"/>
          <w:szCs w:val="32"/>
        </w:rPr>
      </w:pPr>
      <w:r>
        <w:rPr>
          <w:rFonts w:ascii="Times New Roman" w:hAnsi="黑体" w:eastAsia="黑体"/>
          <w:sz w:val="32"/>
          <w:szCs w:val="32"/>
        </w:rPr>
        <w:t>附件</w:t>
      </w:r>
      <w:r>
        <w:rPr>
          <w:rFonts w:ascii="Times New Roman" w:hAnsi="Times New Roman" w:eastAsia="黑体"/>
          <w:sz w:val="32"/>
          <w:szCs w:val="32"/>
        </w:rPr>
        <w:t>1</w:t>
      </w:r>
    </w:p>
    <w:p>
      <w:pPr>
        <w:spacing w:line="760" w:lineRule="exact"/>
        <w:jc w:val="center"/>
        <w:rPr>
          <w:rFonts w:ascii="Times New Roman" w:hAnsi="Times New Roman" w:eastAsia="方正小标宋简体"/>
          <w:bCs/>
          <w:color w:val="000000"/>
          <w:sz w:val="44"/>
          <w:szCs w:val="44"/>
        </w:rPr>
      </w:pPr>
      <w:r>
        <w:rPr>
          <w:rFonts w:ascii="Times New Roman" w:hAnsi="Times New Roman" w:eastAsia="方正小标宋简体"/>
          <w:bCs/>
          <w:color w:val="000000"/>
          <w:sz w:val="44"/>
          <w:szCs w:val="44"/>
        </w:rPr>
        <w:t>工程造价咨询企业信用评价表</w:t>
      </w:r>
    </w:p>
    <w:p>
      <w:pPr>
        <w:rPr>
          <w:rFonts w:ascii="Times New Roman" w:hAnsi="Times New Roman" w:eastAsia="黑体"/>
          <w:bCs/>
          <w:color w:val="000000"/>
          <w:sz w:val="32"/>
          <w:szCs w:val="32"/>
        </w:rPr>
      </w:pPr>
      <w:r>
        <w:rPr>
          <w:rFonts w:ascii="Times New Roman" w:hAnsi="Times New Roman"/>
          <w:b/>
          <w:bCs/>
          <w:color w:val="000000"/>
          <w:sz w:val="18"/>
          <w:szCs w:val="18"/>
        </w:rPr>
        <w:t xml:space="preserve">企业名称：                                                             评审人员（签字）：                              </w:t>
      </w:r>
      <w:r>
        <w:rPr>
          <w:rFonts w:ascii="Times New Roman" w:hAnsi="Times New Roman"/>
          <w:b/>
          <w:bCs/>
          <w:color w:val="000000"/>
          <w:sz w:val="18"/>
          <w:szCs w:val="18"/>
        </w:rPr>
        <w:br w:type="textWrapping"/>
      </w:r>
      <w:r>
        <w:rPr>
          <w:rFonts w:ascii="Times New Roman" w:hAnsi="Times New Roman"/>
          <w:b/>
          <w:bCs/>
          <w:color w:val="000000"/>
          <w:sz w:val="18"/>
          <w:szCs w:val="18"/>
        </w:rPr>
        <w:t>企业地址：                                                             评审时间：</w:t>
      </w:r>
    </w:p>
    <w:tbl>
      <w:tblPr>
        <w:tblStyle w:val="5"/>
        <w:tblW w:w="104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830"/>
        <w:gridCol w:w="822"/>
        <w:gridCol w:w="4469"/>
        <w:gridCol w:w="890"/>
        <w:gridCol w:w="1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noWrap w:val="0"/>
            <w:vAlign w:val="center"/>
          </w:tcPr>
          <w:p>
            <w:pPr>
              <w:jc w:val="center"/>
              <w:rPr>
                <w:rFonts w:ascii="Times New Roman" w:hAnsi="Times New Roman"/>
                <w:color w:val="000000"/>
                <w:kern w:val="0"/>
                <w:sz w:val="18"/>
                <w:szCs w:val="18"/>
              </w:rPr>
            </w:pPr>
            <w:r>
              <w:rPr>
                <w:rFonts w:ascii="Times New Roman" w:hAnsi="Times New Roman"/>
                <w:color w:val="000000"/>
                <w:kern w:val="0"/>
                <w:sz w:val="18"/>
                <w:szCs w:val="18"/>
              </w:rPr>
              <w:t>一级指标</w:t>
            </w:r>
          </w:p>
        </w:tc>
        <w:tc>
          <w:tcPr>
            <w:tcW w:w="1830" w:type="dxa"/>
            <w:noWrap w:val="0"/>
            <w:vAlign w:val="center"/>
          </w:tcPr>
          <w:p>
            <w:pPr>
              <w:jc w:val="center"/>
              <w:rPr>
                <w:rFonts w:ascii="Times New Roman" w:hAnsi="Times New Roman"/>
                <w:color w:val="000000"/>
                <w:kern w:val="0"/>
                <w:sz w:val="18"/>
                <w:szCs w:val="18"/>
              </w:rPr>
            </w:pPr>
            <w:r>
              <w:rPr>
                <w:rFonts w:ascii="Times New Roman" w:hAnsi="Times New Roman"/>
                <w:color w:val="000000"/>
                <w:kern w:val="0"/>
                <w:sz w:val="18"/>
                <w:szCs w:val="18"/>
              </w:rPr>
              <w:t>二级指标(X)</w:t>
            </w:r>
          </w:p>
        </w:tc>
        <w:tc>
          <w:tcPr>
            <w:tcW w:w="822" w:type="dxa"/>
            <w:noWrap w:val="0"/>
            <w:vAlign w:val="center"/>
          </w:tcPr>
          <w:p>
            <w:pPr>
              <w:jc w:val="center"/>
              <w:rPr>
                <w:rFonts w:ascii="Times New Roman" w:hAnsi="Times New Roman"/>
                <w:color w:val="000000"/>
                <w:kern w:val="0"/>
                <w:sz w:val="18"/>
                <w:szCs w:val="18"/>
              </w:rPr>
            </w:pPr>
            <w:r>
              <w:rPr>
                <w:rFonts w:ascii="Times New Roman" w:hAnsi="Times New Roman"/>
                <w:color w:val="000000"/>
                <w:kern w:val="0"/>
                <w:sz w:val="18"/>
                <w:szCs w:val="18"/>
              </w:rPr>
              <w:t>最高分</w:t>
            </w:r>
          </w:p>
        </w:tc>
        <w:tc>
          <w:tcPr>
            <w:tcW w:w="4469" w:type="dxa"/>
            <w:noWrap w:val="0"/>
            <w:vAlign w:val="center"/>
          </w:tcPr>
          <w:p>
            <w:pPr>
              <w:jc w:val="center"/>
              <w:rPr>
                <w:rFonts w:ascii="Times New Roman" w:hAnsi="Times New Roman"/>
                <w:color w:val="000000"/>
                <w:kern w:val="0"/>
                <w:sz w:val="18"/>
                <w:szCs w:val="18"/>
              </w:rPr>
            </w:pPr>
            <w:r>
              <w:rPr>
                <w:rFonts w:ascii="Times New Roman" w:hAnsi="Times New Roman"/>
                <w:color w:val="000000"/>
                <w:kern w:val="0"/>
                <w:sz w:val="18"/>
                <w:szCs w:val="18"/>
              </w:rPr>
              <w:t>评价标准</w:t>
            </w:r>
          </w:p>
        </w:tc>
        <w:tc>
          <w:tcPr>
            <w:tcW w:w="890" w:type="dxa"/>
            <w:noWrap w:val="0"/>
            <w:vAlign w:val="center"/>
          </w:tcPr>
          <w:p>
            <w:pPr>
              <w:jc w:val="center"/>
              <w:rPr>
                <w:rFonts w:ascii="Times New Roman" w:hAnsi="Times New Roman"/>
                <w:color w:val="000000"/>
                <w:kern w:val="0"/>
                <w:sz w:val="18"/>
                <w:szCs w:val="18"/>
              </w:rPr>
            </w:pPr>
            <w:r>
              <w:rPr>
                <w:rFonts w:ascii="Times New Roman" w:hAnsi="Times New Roman"/>
                <w:color w:val="000000"/>
                <w:kern w:val="0"/>
                <w:sz w:val="18"/>
                <w:szCs w:val="18"/>
              </w:rPr>
              <w:t>得分</w:t>
            </w:r>
          </w:p>
        </w:tc>
        <w:tc>
          <w:tcPr>
            <w:tcW w:w="1465" w:type="dxa"/>
            <w:noWrap w:val="0"/>
            <w:vAlign w:val="center"/>
          </w:tcPr>
          <w:p>
            <w:pPr>
              <w:jc w:val="center"/>
              <w:rPr>
                <w:rFonts w:ascii="Times New Roman" w:hAnsi="Times New Roman"/>
                <w:color w:val="000000"/>
                <w:kern w:val="0"/>
                <w:sz w:val="18"/>
                <w:szCs w:val="18"/>
              </w:rPr>
            </w:pPr>
            <w:r>
              <w:rPr>
                <w:rFonts w:ascii="Times New Roman" w:hAnsi="Times New Roman"/>
                <w:color w:val="000000"/>
                <w:kern w:val="0"/>
                <w:sz w:val="18"/>
                <w:szCs w:val="18"/>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restart"/>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1.基本信息                （满分8分）</w:t>
            </w:r>
          </w:p>
        </w:tc>
        <w:tc>
          <w:tcPr>
            <w:tcW w:w="1830"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1.1认缴资本金</w:t>
            </w: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工程造价咨询企业认缴资本每100万元得0.1分，1000万元得满分</w:t>
            </w:r>
          </w:p>
        </w:tc>
        <w:tc>
          <w:tcPr>
            <w:tcW w:w="890" w:type="dxa"/>
            <w:noWrap w:val="0"/>
            <w:vAlign w:val="center"/>
          </w:tcPr>
          <w:p>
            <w:pPr>
              <w:jc w:val="center"/>
              <w:rPr>
                <w:rFonts w:ascii="Times New Roman" w:hAnsi="Times New Roman"/>
                <w:kern w:val="0"/>
                <w:sz w:val="18"/>
                <w:szCs w:val="18"/>
              </w:rPr>
            </w:pPr>
          </w:p>
        </w:tc>
        <w:tc>
          <w:tcPr>
            <w:tcW w:w="1465" w:type="dxa"/>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noWrap/>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1.3企业信息化</w:t>
            </w:r>
          </w:p>
        </w:tc>
        <w:tc>
          <w:tcPr>
            <w:tcW w:w="822" w:type="dxa"/>
            <w:noWrap w:val="0"/>
            <w:vAlign w:val="center"/>
          </w:tcPr>
          <w:p>
            <w:pPr>
              <w:spacing w:line="240" w:lineRule="exact"/>
              <w:jc w:val="center"/>
              <w:rPr>
                <w:rFonts w:ascii="Times New Roman" w:hAnsi="Times New Roman"/>
                <w:kern w:val="0"/>
                <w:sz w:val="20"/>
                <w:szCs w:val="20"/>
              </w:rPr>
            </w:pPr>
            <w:r>
              <w:rPr>
                <w:rFonts w:ascii="Times New Roman" w:hAnsi="Times New Roman"/>
                <w:kern w:val="0"/>
                <w:sz w:val="20"/>
                <w:szCs w:val="20"/>
              </w:rPr>
              <w:t>1</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企业建立OA管理平台或ERP平台或数据指标分析系统</w:t>
            </w:r>
          </w:p>
        </w:tc>
        <w:tc>
          <w:tcPr>
            <w:tcW w:w="890" w:type="dxa"/>
            <w:noWrap w:val="0"/>
            <w:vAlign w:val="center"/>
          </w:tcPr>
          <w:p>
            <w:pPr>
              <w:jc w:val="center"/>
              <w:rPr>
                <w:rFonts w:ascii="Times New Roman" w:hAnsi="Times New Roman"/>
                <w:kern w:val="0"/>
                <w:sz w:val="18"/>
                <w:szCs w:val="18"/>
              </w:rPr>
            </w:pPr>
          </w:p>
        </w:tc>
        <w:tc>
          <w:tcPr>
            <w:tcW w:w="1465" w:type="dxa"/>
            <w:noWrap w:val="0"/>
            <w:vAlign w:val="center"/>
          </w:tcPr>
          <w:p>
            <w:pPr>
              <w:jc w:val="center"/>
              <w:rPr>
                <w:rFonts w:ascii="Times New Roman" w:hAnsi="Times New Roman"/>
                <w:kern w:val="0"/>
                <w:sz w:val="18"/>
                <w:szCs w:val="18"/>
              </w:rPr>
            </w:pPr>
            <w:r>
              <w:rPr>
                <w:rFonts w:ascii="Times New Roman" w:hAnsi="Times New Roman"/>
                <w:kern w:val="0"/>
                <w:sz w:val="18"/>
                <w:szCs w:val="18"/>
              </w:rPr>
              <w:t>运行半年以上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1.4专业业务年限</w:t>
            </w: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2</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每一年0.2分，连续且10年满分</w:t>
            </w:r>
          </w:p>
        </w:tc>
        <w:tc>
          <w:tcPr>
            <w:tcW w:w="890" w:type="dxa"/>
            <w:noWrap w:val="0"/>
            <w:vAlign w:val="center"/>
          </w:tcPr>
          <w:p>
            <w:pPr>
              <w:jc w:val="center"/>
              <w:rPr>
                <w:rFonts w:ascii="Times New Roman" w:hAnsi="Times New Roman"/>
                <w:kern w:val="0"/>
                <w:sz w:val="18"/>
                <w:szCs w:val="18"/>
              </w:rPr>
            </w:pPr>
          </w:p>
        </w:tc>
        <w:tc>
          <w:tcPr>
            <w:tcW w:w="1465" w:type="dxa"/>
            <w:noWrap w:val="0"/>
            <w:vAlign w:val="center"/>
          </w:tcPr>
          <w:p>
            <w:pPr>
              <w:jc w:val="center"/>
              <w:rPr>
                <w:rFonts w:ascii="Times New Roman" w:hAnsi="Times New Roman"/>
                <w:kern w:val="0"/>
                <w:sz w:val="18"/>
                <w:szCs w:val="18"/>
              </w:rPr>
            </w:pPr>
            <w:r>
              <w:rPr>
                <w:rFonts w:ascii="Times New Roman" w:hAnsi="Times New Roman"/>
                <w:kern w:val="0"/>
                <w:sz w:val="18"/>
                <w:szCs w:val="18"/>
              </w:rPr>
              <w:t>初次取得造价资质时间起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1.5注册造价工程师</w:t>
            </w: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3</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工程造价咨询企业注册造价工程师人数6人得2分，每增加一人得0.2分，最高得3分。</w:t>
            </w:r>
          </w:p>
        </w:tc>
        <w:tc>
          <w:tcPr>
            <w:tcW w:w="890" w:type="dxa"/>
            <w:noWrap w:val="0"/>
            <w:vAlign w:val="center"/>
          </w:tcPr>
          <w:p>
            <w:pPr>
              <w:jc w:val="center"/>
              <w:rPr>
                <w:rFonts w:ascii="Times New Roman" w:hAnsi="Times New Roman"/>
                <w:kern w:val="0"/>
                <w:sz w:val="18"/>
                <w:szCs w:val="18"/>
              </w:rPr>
            </w:pPr>
          </w:p>
        </w:tc>
        <w:tc>
          <w:tcPr>
            <w:tcW w:w="1465" w:type="dxa"/>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1.6企业质量认证</w:t>
            </w: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企业具有执业标准指南、范本（模板）或作业指导书，完善的质量管理制度，通过ISO质量管理体系认证（在有效期内）的得1分，每缺一项扣0.5分。</w:t>
            </w:r>
          </w:p>
        </w:tc>
        <w:tc>
          <w:tcPr>
            <w:tcW w:w="890" w:type="dxa"/>
            <w:noWrap w:val="0"/>
            <w:vAlign w:val="center"/>
          </w:tcPr>
          <w:p>
            <w:pPr>
              <w:jc w:val="center"/>
              <w:rPr>
                <w:rFonts w:ascii="Times New Roman" w:hAnsi="Times New Roman"/>
                <w:kern w:val="0"/>
                <w:sz w:val="18"/>
                <w:szCs w:val="18"/>
              </w:rPr>
            </w:pPr>
          </w:p>
        </w:tc>
        <w:tc>
          <w:tcPr>
            <w:tcW w:w="1465" w:type="dxa"/>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restart"/>
            <w:noWrap w:val="0"/>
            <w:vAlign w:val="center"/>
          </w:tcPr>
          <w:p>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2.业绩                          （满分15 分）</w:t>
            </w:r>
          </w:p>
        </w:tc>
        <w:tc>
          <w:tcPr>
            <w:tcW w:w="1830"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2.1造价咨询年均营业收入</w:t>
            </w: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系统计算考察期内全省各造价咨询企业（含甲、乙）年均营业收入的平均值，大于等于平均值的得满分，小于平均值的以插入法计算得分。</w:t>
            </w:r>
          </w:p>
        </w:tc>
        <w:tc>
          <w:tcPr>
            <w:tcW w:w="890" w:type="dxa"/>
            <w:noWrap w:val="0"/>
            <w:vAlign w:val="center"/>
          </w:tcPr>
          <w:p>
            <w:pPr>
              <w:jc w:val="center"/>
              <w:rPr>
                <w:rFonts w:ascii="Times New Roman" w:hAnsi="Times New Roman"/>
                <w:kern w:val="0"/>
                <w:sz w:val="18"/>
                <w:szCs w:val="18"/>
              </w:rPr>
            </w:pPr>
          </w:p>
        </w:tc>
        <w:tc>
          <w:tcPr>
            <w:tcW w:w="1465" w:type="dxa"/>
            <w:noWrap w:val="0"/>
            <w:vAlign w:val="center"/>
          </w:tcPr>
          <w:p>
            <w:pPr>
              <w:jc w:val="center"/>
              <w:rPr>
                <w:rFonts w:ascii="Times New Roman" w:hAnsi="Times New Roman"/>
                <w:kern w:val="0"/>
                <w:sz w:val="18"/>
                <w:szCs w:val="18"/>
              </w:rPr>
            </w:pPr>
            <w:r>
              <w:rPr>
                <w:rFonts w:ascii="Times New Roman" w:hAnsi="Times New Roman"/>
                <w:kern w:val="0"/>
                <w:sz w:val="18"/>
                <w:szCs w:val="18"/>
              </w:rPr>
              <w:t>以河南省工程造价市场监管信息系统上传发票为准，不再另附证明材料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tcBorders>
              <w:bottom w:val="single" w:color="auto" w:sz="4" w:space="0"/>
            </w:tcBorders>
            <w:noWrap w:val="0"/>
            <w:vAlign w:val="center"/>
          </w:tcPr>
          <w:p>
            <w:pPr>
              <w:spacing w:line="240" w:lineRule="exact"/>
              <w:jc w:val="center"/>
              <w:rPr>
                <w:rFonts w:ascii="Times New Roman" w:hAnsi="Times New Roman"/>
                <w:color w:val="000000"/>
                <w:kern w:val="0"/>
                <w:sz w:val="18"/>
                <w:szCs w:val="18"/>
              </w:rPr>
            </w:pPr>
          </w:p>
        </w:tc>
        <w:tc>
          <w:tcPr>
            <w:tcW w:w="1830" w:type="dxa"/>
            <w:tcBorders>
              <w:bottom w:val="single" w:color="auto" w:sz="4" w:space="0"/>
            </w:tcBorders>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2.2发票及时上传</w:t>
            </w:r>
          </w:p>
        </w:tc>
        <w:tc>
          <w:tcPr>
            <w:tcW w:w="822" w:type="dxa"/>
            <w:tcBorders>
              <w:bottom w:val="single" w:color="auto" w:sz="4" w:space="0"/>
            </w:tcBorders>
            <w:noWrap w:val="0"/>
            <w:vAlign w:val="center"/>
          </w:tcPr>
          <w:p>
            <w:pPr>
              <w:spacing w:line="240" w:lineRule="exact"/>
              <w:jc w:val="center"/>
              <w:rPr>
                <w:rFonts w:ascii="Times New Roman" w:hAnsi="Times New Roman"/>
                <w:kern w:val="0"/>
                <w:sz w:val="20"/>
                <w:szCs w:val="20"/>
              </w:rPr>
            </w:pPr>
            <w:r>
              <w:rPr>
                <w:rFonts w:ascii="Times New Roman" w:hAnsi="Times New Roman"/>
                <w:kern w:val="0"/>
                <w:sz w:val="20"/>
                <w:szCs w:val="20"/>
              </w:rPr>
              <w:t>5</w:t>
            </w:r>
          </w:p>
        </w:tc>
        <w:tc>
          <w:tcPr>
            <w:tcW w:w="4469" w:type="dxa"/>
            <w:tcBorders>
              <w:bottom w:val="single" w:color="auto" w:sz="4" w:space="0"/>
            </w:tcBorders>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评价期内所有的发票，发票开出后30日内在系统中进行登记，比例95%以上满分，以后每低一个百分点扣0.5分，低于85%的为0分。</w:t>
            </w:r>
          </w:p>
        </w:tc>
        <w:tc>
          <w:tcPr>
            <w:tcW w:w="890" w:type="dxa"/>
            <w:tcBorders>
              <w:bottom w:val="single" w:color="auto" w:sz="4" w:space="0"/>
            </w:tcBorders>
            <w:noWrap w:val="0"/>
            <w:vAlign w:val="center"/>
          </w:tcPr>
          <w:p>
            <w:pPr>
              <w:jc w:val="center"/>
              <w:rPr>
                <w:rFonts w:ascii="Times New Roman" w:hAnsi="Times New Roman"/>
                <w:kern w:val="0"/>
                <w:sz w:val="20"/>
                <w:szCs w:val="20"/>
              </w:rPr>
            </w:pPr>
          </w:p>
        </w:tc>
        <w:tc>
          <w:tcPr>
            <w:tcW w:w="1465" w:type="dxa"/>
            <w:tcBorders>
              <w:bottom w:val="single" w:color="auto" w:sz="4" w:space="0"/>
            </w:tcBorders>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3.管理能力及技术水平                         （满分66 分）</w:t>
            </w:r>
          </w:p>
        </w:tc>
        <w:tc>
          <w:tcPr>
            <w:tcW w:w="183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3.1合同备案</w:t>
            </w:r>
          </w:p>
        </w:tc>
        <w:tc>
          <w:tcPr>
            <w:tcW w:w="822"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446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Times New Roman" w:hAnsi="Times New Roman"/>
                <w:kern w:val="0"/>
                <w:sz w:val="18"/>
                <w:szCs w:val="18"/>
                <w:u w:val="single"/>
              </w:rPr>
            </w:pPr>
            <w:r>
              <w:rPr>
                <w:rFonts w:ascii="Times New Roman" w:hAnsi="Times New Roman"/>
                <w:kern w:val="0"/>
                <w:sz w:val="18"/>
                <w:szCs w:val="18"/>
              </w:rPr>
              <w:t>评价期内如</w:t>
            </w:r>
            <w:r>
              <w:rPr>
                <w:rFonts w:ascii="Times New Roman" w:hAnsi="Times New Roman"/>
                <w:sz w:val="18"/>
                <w:szCs w:val="18"/>
              </w:rPr>
              <w:t>发票不能显示项目名称信息，需要补充上传</w:t>
            </w:r>
            <w:r>
              <w:rPr>
                <w:rFonts w:ascii="Times New Roman" w:hAnsi="Times New Roman"/>
                <w:kern w:val="0"/>
                <w:sz w:val="18"/>
                <w:szCs w:val="18"/>
              </w:rPr>
              <w:t>合同，在系统中进行登记，已上传合同数占应上传合同数比例在95%以上得满分，以后每低一个百分点扣0.1分，低于85%的得0分。</w:t>
            </w:r>
          </w:p>
        </w:tc>
        <w:tc>
          <w:tcPr>
            <w:tcW w:w="8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kern w:val="0"/>
                <w:sz w:val="18"/>
                <w:szCs w:val="18"/>
              </w:rPr>
            </w:pPr>
          </w:p>
        </w:tc>
        <w:tc>
          <w:tcPr>
            <w:tcW w:w="14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kern w:val="0"/>
                <w:sz w:val="18"/>
                <w:szCs w:val="18"/>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3.2成果文件上传</w:t>
            </w:r>
          </w:p>
        </w:tc>
        <w:tc>
          <w:tcPr>
            <w:tcW w:w="822"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3</w:t>
            </w:r>
          </w:p>
        </w:tc>
        <w:tc>
          <w:tcPr>
            <w:tcW w:w="446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已经开具发票项目，造价大于等于500万元的房屋建筑及市政工程类项目必须上传xml文件（其它项目不做要求）。按照要求全部上传xml文件的得3分，应上传xml文件的项目未上传的，每一个项目扣1分，本项分值扣完为止。</w:t>
            </w:r>
          </w:p>
        </w:tc>
        <w:tc>
          <w:tcPr>
            <w:tcW w:w="8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kern w:val="0"/>
                <w:sz w:val="18"/>
                <w:szCs w:val="18"/>
              </w:rPr>
            </w:pPr>
          </w:p>
        </w:tc>
        <w:tc>
          <w:tcPr>
            <w:tcW w:w="14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kern w:val="0"/>
                <w:sz w:val="18"/>
                <w:szCs w:val="18"/>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3.3三级复核</w:t>
            </w:r>
          </w:p>
        </w:tc>
        <w:tc>
          <w:tcPr>
            <w:tcW w:w="822"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2</w:t>
            </w:r>
          </w:p>
        </w:tc>
        <w:tc>
          <w:tcPr>
            <w:tcW w:w="446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企业评价期内项目100%履行三级复核的得2分，如抽查发现未达到100%的得-2分。</w:t>
            </w:r>
          </w:p>
        </w:tc>
        <w:tc>
          <w:tcPr>
            <w:tcW w:w="8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kern w:val="0"/>
                <w:sz w:val="18"/>
                <w:szCs w:val="18"/>
              </w:rPr>
            </w:pPr>
          </w:p>
        </w:tc>
        <w:tc>
          <w:tcPr>
            <w:tcW w:w="14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kern w:val="0"/>
                <w:sz w:val="18"/>
                <w:szCs w:val="18"/>
              </w:rPr>
            </w:pPr>
          </w:p>
        </w:tc>
        <w:tc>
          <w:tcPr>
            <w:tcW w:w="1830"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3.3成果质量</w:t>
            </w:r>
          </w:p>
        </w:tc>
        <w:tc>
          <w:tcPr>
            <w:tcW w:w="822" w:type="dxa"/>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60</w:t>
            </w:r>
          </w:p>
        </w:tc>
        <w:tc>
          <w:tcPr>
            <w:tcW w:w="4469" w:type="dxa"/>
            <w:tcBorders>
              <w:top w:val="single" w:color="auto" w:sz="4" w:space="0"/>
              <w:left w:val="single" w:color="auto" w:sz="4" w:space="0"/>
              <w:bottom w:val="single" w:color="auto" w:sz="4" w:space="0"/>
              <w:right w:val="single" w:color="auto" w:sz="4" w:space="0"/>
            </w:tcBorders>
            <w:noWrap w:val="0"/>
            <w:vAlign w:val="center"/>
          </w:tcPr>
          <w:p>
            <w:pPr>
              <w:spacing w:line="240" w:lineRule="exact"/>
              <w:rPr>
                <w:rFonts w:ascii="Times New Roman" w:hAnsi="Times New Roman"/>
                <w:color w:val="000000"/>
                <w:kern w:val="0"/>
                <w:sz w:val="18"/>
                <w:szCs w:val="18"/>
              </w:rPr>
            </w:pPr>
            <w:r>
              <w:rPr>
                <w:rFonts w:ascii="Times New Roman" w:hAnsi="Times New Roman"/>
                <w:color w:val="000000"/>
                <w:kern w:val="0"/>
                <w:sz w:val="18"/>
                <w:szCs w:val="18"/>
              </w:rPr>
              <w:t>根据《工程造价咨询成果文件质量评定表》（附件2）</w:t>
            </w:r>
          </w:p>
        </w:tc>
        <w:tc>
          <w:tcPr>
            <w:tcW w:w="89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000000"/>
                <w:kern w:val="0"/>
                <w:sz w:val="18"/>
                <w:szCs w:val="18"/>
              </w:rPr>
            </w:pPr>
          </w:p>
        </w:tc>
        <w:tc>
          <w:tcPr>
            <w:tcW w:w="146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000000"/>
                <w:kern w:val="0"/>
                <w:sz w:val="18"/>
                <w:szCs w:val="18"/>
              </w:rPr>
            </w:pPr>
            <w:r>
              <w:rPr>
                <w:rFonts w:ascii="Times New Roman" w:hAnsi="Times New Roman"/>
                <w:color w:val="000000"/>
                <w:kern w:val="0"/>
                <w:sz w:val="18"/>
                <w:szCs w:val="18"/>
              </w:rPr>
              <w:t>专家评分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restart"/>
            <w:tcBorders>
              <w:top w:val="single" w:color="auto" w:sz="4" w:space="0"/>
            </w:tcBorders>
            <w:noWrap w:val="0"/>
            <w:vAlign w:val="center"/>
          </w:tcPr>
          <w:p>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4.科研能力及业务拓展                      （满分6分）</w:t>
            </w:r>
          </w:p>
        </w:tc>
        <w:tc>
          <w:tcPr>
            <w:tcW w:w="1830" w:type="dxa"/>
            <w:tcBorders>
              <w:top w:val="single" w:color="auto" w:sz="4" w:space="0"/>
            </w:tcBorders>
            <w:noWrap w:val="0"/>
            <w:vAlign w:val="center"/>
          </w:tcPr>
          <w:p>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4.1论文</w:t>
            </w:r>
          </w:p>
        </w:tc>
        <w:tc>
          <w:tcPr>
            <w:tcW w:w="822" w:type="dxa"/>
            <w:tcBorders>
              <w:top w:val="single" w:color="auto" w:sz="4" w:space="0"/>
            </w:tcBorders>
            <w:noWrap w:val="0"/>
            <w:vAlign w:val="center"/>
          </w:tcPr>
          <w:p>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2</w:t>
            </w:r>
          </w:p>
        </w:tc>
        <w:tc>
          <w:tcPr>
            <w:tcW w:w="4469" w:type="dxa"/>
            <w:tcBorders>
              <w:top w:val="single" w:color="auto" w:sz="4" w:space="0"/>
            </w:tcBorders>
            <w:noWrap w:val="0"/>
            <w:vAlign w:val="center"/>
          </w:tcPr>
          <w:p>
            <w:pPr>
              <w:spacing w:line="240" w:lineRule="exact"/>
              <w:rPr>
                <w:rFonts w:ascii="Times New Roman" w:hAnsi="Times New Roman"/>
                <w:color w:val="000000"/>
                <w:kern w:val="0"/>
                <w:sz w:val="18"/>
                <w:szCs w:val="18"/>
              </w:rPr>
            </w:pPr>
            <w:r>
              <w:rPr>
                <w:rFonts w:ascii="Times New Roman" w:hAnsi="Times New Roman"/>
                <w:color w:val="000000"/>
                <w:kern w:val="0"/>
                <w:sz w:val="18"/>
                <w:szCs w:val="18"/>
              </w:rPr>
              <w:t xml:space="preserve">评价期内在省级及以上期刊上发表与业务领域相关的论文的，每篇1分；                                      </w:t>
            </w:r>
            <w:r>
              <w:rPr>
                <w:rFonts w:ascii="Times New Roman" w:hAnsi="Times New Roman"/>
                <w:color w:val="000000"/>
                <w:kern w:val="0"/>
                <w:sz w:val="18"/>
                <w:szCs w:val="18"/>
              </w:rPr>
              <w:br w:type="textWrapping"/>
            </w:r>
            <w:r>
              <w:rPr>
                <w:rFonts w:ascii="Times New Roman" w:hAnsi="Times New Roman"/>
                <w:color w:val="000000"/>
                <w:kern w:val="0"/>
                <w:sz w:val="18"/>
                <w:szCs w:val="18"/>
              </w:rPr>
              <w:t>评价期内论文收录到中价协或国际会议的论文集的，每篇1分。</w:t>
            </w:r>
          </w:p>
        </w:tc>
        <w:tc>
          <w:tcPr>
            <w:tcW w:w="890" w:type="dxa"/>
            <w:tcBorders>
              <w:top w:val="single" w:color="auto" w:sz="4" w:space="0"/>
            </w:tcBorders>
            <w:noWrap w:val="0"/>
            <w:vAlign w:val="center"/>
          </w:tcPr>
          <w:p>
            <w:pPr>
              <w:jc w:val="center"/>
              <w:rPr>
                <w:rFonts w:ascii="Times New Roman" w:hAnsi="Times New Roman"/>
                <w:color w:val="000000"/>
                <w:kern w:val="0"/>
                <w:sz w:val="18"/>
                <w:szCs w:val="18"/>
              </w:rPr>
            </w:pPr>
          </w:p>
        </w:tc>
        <w:tc>
          <w:tcPr>
            <w:tcW w:w="1465" w:type="dxa"/>
            <w:tcBorders>
              <w:top w:val="single" w:color="auto" w:sz="4" w:space="0"/>
            </w:tcBorders>
            <w:noWrap w:val="0"/>
            <w:vAlign w:val="center"/>
          </w:tcPr>
          <w:p>
            <w:pPr>
              <w:jc w:val="center"/>
              <w:rPr>
                <w:rFonts w:ascii="Times New Roman" w:hAnsi="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color w:val="000000"/>
                <w:kern w:val="0"/>
                <w:sz w:val="18"/>
                <w:szCs w:val="18"/>
              </w:rPr>
            </w:pPr>
          </w:p>
        </w:tc>
        <w:tc>
          <w:tcPr>
            <w:tcW w:w="1830" w:type="dxa"/>
            <w:noWrap w:val="0"/>
            <w:vAlign w:val="center"/>
          </w:tcPr>
          <w:p>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4.2新业务开拓</w:t>
            </w:r>
          </w:p>
        </w:tc>
        <w:tc>
          <w:tcPr>
            <w:tcW w:w="822" w:type="dxa"/>
            <w:noWrap w:val="0"/>
            <w:vAlign w:val="center"/>
          </w:tcPr>
          <w:p>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4</w:t>
            </w:r>
          </w:p>
        </w:tc>
        <w:tc>
          <w:tcPr>
            <w:tcW w:w="4469" w:type="dxa"/>
            <w:noWrap w:val="0"/>
            <w:vAlign w:val="center"/>
          </w:tcPr>
          <w:p>
            <w:pPr>
              <w:spacing w:line="240" w:lineRule="exact"/>
              <w:rPr>
                <w:rFonts w:ascii="Times New Roman" w:hAnsi="Times New Roman"/>
                <w:color w:val="000000"/>
                <w:kern w:val="0"/>
                <w:sz w:val="18"/>
                <w:szCs w:val="18"/>
              </w:rPr>
            </w:pPr>
            <w:r>
              <w:rPr>
                <w:rFonts w:ascii="Times New Roman" w:hAnsi="Times New Roman"/>
                <w:color w:val="000000"/>
                <w:kern w:val="0"/>
                <w:sz w:val="18"/>
                <w:szCs w:val="18"/>
              </w:rPr>
              <w:t>评价期内有实施BIM咨询、PPP咨询、全过程造价控制、建设项目经济评价咨询项目、参与设计阶段造价控制咨询、项目管理全过程工程咨询等项目，每一个合同得0.5分，8个合同满分。</w:t>
            </w:r>
          </w:p>
        </w:tc>
        <w:tc>
          <w:tcPr>
            <w:tcW w:w="890" w:type="dxa"/>
            <w:noWrap w:val="0"/>
            <w:vAlign w:val="center"/>
          </w:tcPr>
          <w:p>
            <w:pPr>
              <w:jc w:val="center"/>
              <w:rPr>
                <w:rFonts w:ascii="Times New Roman" w:hAnsi="Times New Roman"/>
                <w:color w:val="000000"/>
                <w:kern w:val="0"/>
                <w:sz w:val="18"/>
                <w:szCs w:val="18"/>
              </w:rPr>
            </w:pPr>
          </w:p>
        </w:tc>
        <w:tc>
          <w:tcPr>
            <w:tcW w:w="1465" w:type="dxa"/>
            <w:noWrap w:val="0"/>
            <w:vAlign w:val="center"/>
          </w:tcPr>
          <w:p>
            <w:pPr>
              <w:jc w:val="center"/>
              <w:rPr>
                <w:rFonts w:ascii="Times New Roman" w:hAnsi="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restart"/>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5.社会及行业责任与义务</w:t>
            </w:r>
            <w:r>
              <w:rPr>
                <w:rFonts w:ascii="Times New Roman" w:hAnsi="Times New Roman"/>
                <w:kern w:val="0"/>
                <w:sz w:val="18"/>
                <w:szCs w:val="18"/>
              </w:rPr>
              <w:br w:type="textWrapping"/>
            </w:r>
            <w:r>
              <w:rPr>
                <w:rFonts w:ascii="Times New Roman" w:hAnsi="Times New Roman"/>
                <w:kern w:val="0"/>
                <w:sz w:val="18"/>
                <w:szCs w:val="18"/>
              </w:rPr>
              <w:t>（满分5分）</w:t>
            </w:r>
          </w:p>
        </w:tc>
        <w:tc>
          <w:tcPr>
            <w:tcW w:w="1830"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5.1社会责任</w:t>
            </w: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评价期内参与行业管理部门的公益活动，或其他社会公益活动，得1分。</w:t>
            </w:r>
          </w:p>
        </w:tc>
        <w:tc>
          <w:tcPr>
            <w:tcW w:w="890" w:type="dxa"/>
            <w:noWrap w:val="0"/>
            <w:vAlign w:val="center"/>
          </w:tcPr>
          <w:p>
            <w:pPr>
              <w:jc w:val="center"/>
              <w:rPr>
                <w:rFonts w:ascii="Times New Roman" w:hAnsi="Times New Roman"/>
                <w:kern w:val="0"/>
                <w:sz w:val="18"/>
                <w:szCs w:val="18"/>
              </w:rPr>
            </w:pPr>
          </w:p>
        </w:tc>
        <w:tc>
          <w:tcPr>
            <w:tcW w:w="1465" w:type="dxa"/>
            <w:noWrap w:val="0"/>
            <w:vAlign w:val="center"/>
          </w:tcPr>
          <w:p>
            <w:pPr>
              <w:jc w:val="center"/>
              <w:rPr>
                <w:rFonts w:ascii="Times New Roman" w:hAnsi="Times New Roman"/>
                <w:kern w:val="0"/>
                <w:sz w:val="18"/>
                <w:szCs w:val="18"/>
              </w:rPr>
            </w:pPr>
            <w:r>
              <w:rPr>
                <w:rFonts w:ascii="Times New Roman" w:hAnsi="Times New Roman"/>
                <w:kern w:val="0"/>
                <w:sz w:val="18"/>
                <w:szCs w:val="18"/>
              </w:rPr>
              <w:t>评价期内参与抢险救灾、慈善公益或捐赠捐助活动证明材料以河南省工程造价市场监管信息系统上传为准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restart"/>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5.2社保和员工权益</w:t>
            </w:r>
          </w:p>
        </w:tc>
        <w:tc>
          <w:tcPr>
            <w:tcW w:w="822" w:type="dxa"/>
            <w:vMerge w:val="restart"/>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2</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评价期内，100%连续缴纳社保（不间断）的得1分，70%-99%连续缴纳社保（不间断）的得0.5分，低于70%的不得分。</w:t>
            </w:r>
          </w:p>
        </w:tc>
        <w:tc>
          <w:tcPr>
            <w:tcW w:w="890" w:type="dxa"/>
            <w:noWrap w:val="0"/>
            <w:vAlign w:val="center"/>
          </w:tcPr>
          <w:p>
            <w:pPr>
              <w:jc w:val="center"/>
              <w:rPr>
                <w:rFonts w:ascii="Times New Roman" w:hAnsi="Times New Roman"/>
                <w:kern w:val="0"/>
                <w:sz w:val="18"/>
                <w:szCs w:val="18"/>
              </w:rPr>
            </w:pPr>
          </w:p>
        </w:tc>
        <w:tc>
          <w:tcPr>
            <w:tcW w:w="1465" w:type="dxa"/>
            <w:vMerge w:val="restart"/>
            <w:noWrap w:val="0"/>
            <w:vAlign w:val="center"/>
          </w:tcPr>
          <w:p>
            <w:pPr>
              <w:jc w:val="center"/>
              <w:rPr>
                <w:rFonts w:ascii="Times New Roman" w:hAnsi="Times New Roman"/>
                <w:kern w:val="0"/>
                <w:sz w:val="18"/>
                <w:szCs w:val="18"/>
              </w:rPr>
            </w:pPr>
            <w:r>
              <w:rPr>
                <w:rFonts w:ascii="Times New Roman" w:hAnsi="Times New Roman"/>
                <w:kern w:val="0"/>
                <w:sz w:val="18"/>
                <w:szCs w:val="18"/>
              </w:rPr>
              <w:t>社保缴纳情况依托省人力资源社会保障厅社保端口对接查询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vMerge w:val="continue"/>
            <w:noWrap w:val="0"/>
            <w:vAlign w:val="center"/>
          </w:tcPr>
          <w:p>
            <w:pPr>
              <w:spacing w:line="240" w:lineRule="exact"/>
              <w:jc w:val="center"/>
              <w:rPr>
                <w:rFonts w:ascii="Times New Roman" w:hAnsi="Times New Roman"/>
                <w:kern w:val="0"/>
                <w:sz w:val="18"/>
                <w:szCs w:val="18"/>
              </w:rPr>
            </w:pP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100%签订劳动合同的得1分，低于100%的不得分。</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5.3参与国家、行业、地方标准、定额情况，检查评审情况</w:t>
            </w: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2</w:t>
            </w:r>
          </w:p>
        </w:tc>
        <w:tc>
          <w:tcPr>
            <w:tcW w:w="4469" w:type="dxa"/>
            <w:noWrap w:val="0"/>
            <w:vAlign w:val="center"/>
          </w:tcPr>
          <w:p>
            <w:pPr>
              <w:numPr>
                <w:ilvl w:val="0"/>
                <w:numId w:val="1"/>
              </w:numPr>
              <w:spacing w:line="240" w:lineRule="exact"/>
              <w:rPr>
                <w:rFonts w:ascii="Times New Roman" w:hAnsi="Times New Roman"/>
                <w:kern w:val="0"/>
                <w:sz w:val="18"/>
                <w:szCs w:val="18"/>
              </w:rPr>
            </w:pPr>
            <w:r>
              <w:rPr>
                <w:rFonts w:ascii="Times New Roman" w:hAnsi="Times New Roman"/>
                <w:kern w:val="0"/>
                <w:sz w:val="18"/>
                <w:szCs w:val="18"/>
              </w:rPr>
              <w:t>参与国家或地方（住房和城乡建设主管部门）行业标准、定额编制每人每次计1分；</w:t>
            </w:r>
          </w:p>
          <w:p>
            <w:pPr>
              <w:numPr>
                <w:ilvl w:val="0"/>
                <w:numId w:val="1"/>
              </w:numPr>
              <w:spacing w:line="240" w:lineRule="exact"/>
              <w:rPr>
                <w:rFonts w:ascii="Times New Roman" w:hAnsi="Times New Roman"/>
                <w:kern w:val="0"/>
                <w:sz w:val="18"/>
                <w:szCs w:val="18"/>
              </w:rPr>
            </w:pPr>
            <w:r>
              <w:rPr>
                <w:rFonts w:ascii="Times New Roman" w:hAnsi="Times New Roman"/>
                <w:kern w:val="0"/>
                <w:sz w:val="18"/>
                <w:szCs w:val="18"/>
              </w:rPr>
              <w:t>参与执业检查、标准评审、资质评审每人每次计0.5分。</w:t>
            </w:r>
          </w:p>
        </w:tc>
        <w:tc>
          <w:tcPr>
            <w:tcW w:w="890" w:type="dxa"/>
            <w:noWrap w:val="0"/>
            <w:vAlign w:val="center"/>
          </w:tcPr>
          <w:p>
            <w:pPr>
              <w:jc w:val="center"/>
              <w:rPr>
                <w:rFonts w:ascii="Times New Roman" w:hAnsi="Times New Roman"/>
                <w:kern w:val="0"/>
                <w:sz w:val="18"/>
                <w:szCs w:val="18"/>
              </w:rPr>
            </w:pPr>
          </w:p>
        </w:tc>
        <w:tc>
          <w:tcPr>
            <w:tcW w:w="1465" w:type="dxa"/>
            <w:noWrap w:val="0"/>
            <w:vAlign w:val="center"/>
          </w:tcPr>
          <w:p>
            <w:pPr>
              <w:jc w:val="center"/>
              <w:rPr>
                <w:rFonts w:ascii="Times New Roman" w:hAnsi="Times New Roman"/>
                <w:kern w:val="0"/>
                <w:sz w:val="18"/>
                <w:szCs w:val="18"/>
              </w:rPr>
            </w:pPr>
            <w:r>
              <w:rPr>
                <w:rFonts w:ascii="Times New Roman" w:hAnsi="Times New Roman"/>
                <w:kern w:val="0"/>
                <w:sz w:val="18"/>
                <w:szCs w:val="18"/>
              </w:rPr>
              <w:t>此处填写参与次数，相关证明文件以河南省工程造价市场监管信息系统上传为准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restart"/>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6.不良行为记录</w:t>
            </w:r>
          </w:p>
        </w:tc>
        <w:tc>
          <w:tcPr>
            <w:tcW w:w="1830" w:type="dxa"/>
            <w:vMerge w:val="restart"/>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系统中数据与现实数据不符的</w:t>
            </w:r>
          </w:p>
        </w:tc>
        <w:tc>
          <w:tcPr>
            <w:tcW w:w="890" w:type="dxa"/>
            <w:noWrap w:val="0"/>
            <w:vAlign w:val="center"/>
          </w:tcPr>
          <w:p>
            <w:pPr>
              <w:spacing w:line="240" w:lineRule="exact"/>
              <w:jc w:val="center"/>
              <w:rPr>
                <w:rFonts w:ascii="Times New Roman" w:hAnsi="Times New Roman"/>
                <w:color w:val="FF0000"/>
                <w:kern w:val="0"/>
                <w:sz w:val="18"/>
                <w:szCs w:val="18"/>
              </w:rPr>
            </w:pPr>
          </w:p>
        </w:tc>
        <w:tc>
          <w:tcPr>
            <w:tcW w:w="1465" w:type="dxa"/>
            <w:vMerge w:val="restart"/>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此项为扣分项，评价期内不良行为每有一项按分值扣分，最多扣分至企业信用评价分值为零分。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-2</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造价咨询企业未按相关文件要求在河南省工程造价市场监管信息系统上登记备案的</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被省辖市、直管县（市）及以上住房城乡建设主管部门或相关部门通报批评，要求限期整改的</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拒绝接受住房城乡建设主管部门监督检查或拒绝提供反映活动情况真实材料的</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其他法律、法规和相关规定明令禁止的行为</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取消资格</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从事工程造价咨询活动，损害社会公共利益和他人的合法权益的</w:t>
            </w:r>
          </w:p>
        </w:tc>
        <w:tc>
          <w:tcPr>
            <w:tcW w:w="890" w:type="dxa"/>
            <w:noWrap w:val="0"/>
            <w:vAlign w:val="center"/>
          </w:tcPr>
          <w:p>
            <w:pPr>
              <w:jc w:val="center"/>
              <w:rPr>
                <w:rFonts w:ascii="Times New Roman" w:hAnsi="Times New Roman"/>
                <w:kern w:val="0"/>
                <w:sz w:val="18"/>
                <w:szCs w:val="18"/>
              </w:rPr>
            </w:pPr>
          </w:p>
        </w:tc>
        <w:tc>
          <w:tcPr>
            <w:tcW w:w="1465" w:type="dxa"/>
            <w:vMerge w:val="restart"/>
            <w:noWrap w:val="0"/>
            <w:vAlign w:val="center"/>
          </w:tcPr>
          <w:p>
            <w:pPr>
              <w:jc w:val="center"/>
              <w:rPr>
                <w:rFonts w:ascii="Times New Roman" w:hAnsi="Times New Roman"/>
                <w:kern w:val="0"/>
                <w:sz w:val="18"/>
                <w:szCs w:val="18"/>
              </w:rPr>
            </w:pPr>
            <w:r>
              <w:rPr>
                <w:rFonts w:ascii="Times New Roman" w:hAnsi="Times New Roman"/>
                <w:kern w:val="0"/>
                <w:sz w:val="18"/>
                <w:szCs w:val="18"/>
              </w:rPr>
              <w:t>评价期内有此项不良行为中的一项直接取消信用评价评定资格，限期</w:t>
            </w:r>
          </w:p>
          <w:p>
            <w:pPr>
              <w:jc w:val="center"/>
              <w:rPr>
                <w:rFonts w:ascii="Times New Roman" w:hAnsi="Times New Roman"/>
                <w:kern w:val="0"/>
                <w:sz w:val="18"/>
                <w:szCs w:val="18"/>
              </w:rPr>
            </w:pPr>
            <w:r>
              <w:rPr>
                <w:rFonts w:ascii="Times New Roman" w:hAnsi="Times New Roman"/>
                <w:kern w:val="0"/>
                <w:sz w:val="18"/>
                <w:szCs w:val="18"/>
              </w:rPr>
              <w:t>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取消资格</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涂改、倒卖、出租、出借资质证书，或者以其他形式非法转让资质证书的</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取消资格</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超越资质等级业务范围承接工程造价咨询业务的</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取消资格</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同时接受招标人和投标人或两个以上投标人对同一工程项目的工程造价咨询业务的</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取消资格</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以给予回扣、恶意压低收费等方式进行不正当竞争的</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取消资格</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转包承接的工程造价咨询业务</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60" w:type="dxa"/>
            <w:vMerge w:val="continue"/>
            <w:noWrap w:val="0"/>
            <w:vAlign w:val="center"/>
          </w:tcPr>
          <w:p>
            <w:pPr>
              <w:spacing w:line="240" w:lineRule="exact"/>
              <w:jc w:val="center"/>
              <w:rPr>
                <w:rFonts w:ascii="Times New Roman" w:hAnsi="Times New Roman"/>
                <w:kern w:val="0"/>
                <w:sz w:val="18"/>
                <w:szCs w:val="18"/>
              </w:rPr>
            </w:pPr>
          </w:p>
        </w:tc>
        <w:tc>
          <w:tcPr>
            <w:tcW w:w="1830" w:type="dxa"/>
            <w:vMerge w:val="continue"/>
            <w:noWrap w:val="0"/>
            <w:vAlign w:val="center"/>
          </w:tcPr>
          <w:p>
            <w:pPr>
              <w:spacing w:line="240" w:lineRule="exact"/>
              <w:jc w:val="center"/>
              <w:rPr>
                <w:rFonts w:ascii="Times New Roman" w:hAnsi="Times New Roman"/>
                <w:kern w:val="0"/>
                <w:sz w:val="18"/>
                <w:szCs w:val="18"/>
              </w:rPr>
            </w:pPr>
          </w:p>
        </w:tc>
        <w:tc>
          <w:tcPr>
            <w:tcW w:w="822" w:type="dxa"/>
            <w:noWrap w:val="0"/>
            <w:vAlign w:val="center"/>
          </w:tcPr>
          <w:p>
            <w:pPr>
              <w:spacing w:line="240" w:lineRule="exact"/>
              <w:jc w:val="center"/>
              <w:rPr>
                <w:rFonts w:ascii="Times New Roman" w:hAnsi="Times New Roman"/>
                <w:kern w:val="0"/>
                <w:sz w:val="18"/>
                <w:szCs w:val="18"/>
              </w:rPr>
            </w:pPr>
            <w:r>
              <w:rPr>
                <w:rFonts w:ascii="Times New Roman" w:hAnsi="Times New Roman"/>
                <w:kern w:val="0"/>
                <w:sz w:val="18"/>
                <w:szCs w:val="18"/>
              </w:rPr>
              <w:t>取消资格</w:t>
            </w:r>
          </w:p>
        </w:tc>
        <w:tc>
          <w:tcPr>
            <w:tcW w:w="4469" w:type="dxa"/>
            <w:noWrap w:val="0"/>
            <w:vAlign w:val="center"/>
          </w:tcPr>
          <w:p>
            <w:pPr>
              <w:spacing w:line="240" w:lineRule="exact"/>
              <w:rPr>
                <w:rFonts w:ascii="Times New Roman" w:hAnsi="Times New Roman"/>
                <w:kern w:val="0"/>
                <w:sz w:val="18"/>
                <w:szCs w:val="18"/>
              </w:rPr>
            </w:pPr>
            <w:r>
              <w:rPr>
                <w:rFonts w:ascii="Times New Roman" w:hAnsi="Times New Roman"/>
                <w:kern w:val="0"/>
                <w:sz w:val="18"/>
                <w:szCs w:val="18"/>
              </w:rPr>
              <w:t>未经委托人书面同意，对外提供工程造价咨询服务过程中获知的当事人的商业秘密和业务资料的</w:t>
            </w:r>
          </w:p>
        </w:tc>
        <w:tc>
          <w:tcPr>
            <w:tcW w:w="890" w:type="dxa"/>
            <w:noWrap w:val="0"/>
            <w:vAlign w:val="center"/>
          </w:tcPr>
          <w:p>
            <w:pPr>
              <w:jc w:val="center"/>
              <w:rPr>
                <w:rFonts w:ascii="Times New Roman" w:hAnsi="Times New Roman"/>
                <w:kern w:val="0"/>
                <w:sz w:val="18"/>
                <w:szCs w:val="18"/>
              </w:rPr>
            </w:pPr>
          </w:p>
        </w:tc>
        <w:tc>
          <w:tcPr>
            <w:tcW w:w="1465" w:type="dxa"/>
            <w:vMerge w:val="continue"/>
            <w:noWrap w:val="0"/>
            <w:vAlign w:val="center"/>
          </w:tcPr>
          <w:p>
            <w:pPr>
              <w:jc w:val="center"/>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081" w:type="dxa"/>
            <w:gridSpan w:val="4"/>
            <w:noWrap w:val="0"/>
            <w:vAlign w:val="center"/>
          </w:tcPr>
          <w:p>
            <w:pPr>
              <w:rPr>
                <w:rFonts w:ascii="Times New Roman" w:hAnsi="Times New Roman"/>
                <w:kern w:val="0"/>
                <w:sz w:val="18"/>
                <w:szCs w:val="18"/>
              </w:rPr>
            </w:pPr>
            <w:r>
              <w:rPr>
                <w:rFonts w:ascii="Times New Roman" w:hAnsi="Times New Roman"/>
                <w:kern w:val="0"/>
                <w:sz w:val="18"/>
                <w:szCs w:val="18"/>
              </w:rPr>
              <w:t>合  计</w:t>
            </w:r>
          </w:p>
        </w:tc>
        <w:tc>
          <w:tcPr>
            <w:tcW w:w="890" w:type="dxa"/>
            <w:noWrap w:val="0"/>
            <w:vAlign w:val="center"/>
          </w:tcPr>
          <w:p>
            <w:pPr>
              <w:jc w:val="center"/>
              <w:rPr>
                <w:rFonts w:ascii="Times New Roman" w:hAnsi="Times New Roman"/>
                <w:kern w:val="0"/>
                <w:sz w:val="18"/>
                <w:szCs w:val="18"/>
              </w:rPr>
            </w:pPr>
          </w:p>
        </w:tc>
        <w:tc>
          <w:tcPr>
            <w:tcW w:w="1465" w:type="dxa"/>
            <w:noWrap w:val="0"/>
            <w:vAlign w:val="center"/>
          </w:tcPr>
          <w:p>
            <w:pPr>
              <w:jc w:val="center"/>
              <w:rPr>
                <w:rFonts w:ascii="Times New Roman" w:hAnsi="Times New Roman"/>
                <w:kern w:val="0"/>
                <w:sz w:val="18"/>
                <w:szCs w:val="18"/>
              </w:rPr>
            </w:pP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0A0545"/>
    <w:multiLevelType w:val="singleLevel"/>
    <w:tmpl w:val="240A054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AC31A9"/>
    <w:rsid w:val="06AC31A9"/>
    <w:rsid w:val="5C7931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9"/>
    <w:qFormat/>
    <w:uiPriority w:val="0"/>
    <w:pPr>
      <w:keepNext/>
      <w:keepLines/>
      <w:spacing w:beforeLines="0" w:beforeAutospacing="0" w:afterLines="0" w:afterAutospacing="0" w:line="360" w:lineRule="auto"/>
      <w:ind w:firstLine="0" w:firstLineChars="0"/>
      <w:outlineLvl w:val="0"/>
    </w:pPr>
    <w:rPr>
      <w:rFonts w:ascii="Times New Roman" w:hAnsi="Times New Roman" w:eastAsia="仿宋" w:cs="Times New Roman"/>
      <w:kern w:val="44"/>
      <w:sz w:val="28"/>
      <w:szCs w:val="20"/>
      <w:lang w:val="zh-CN" w:bidi="zh-CN"/>
    </w:rPr>
  </w:style>
  <w:style w:type="character" w:default="1" w:styleId="6">
    <w:name w:val="Default Paragraph Font"/>
    <w:link w:val="7"/>
    <w:semiHidden/>
    <w:unhideWhenUsed/>
    <w:qFormat/>
    <w:uiPriority w:val="1"/>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No Spacing"/>
    <w:basedOn w:val="1"/>
    <w:qFormat/>
    <w:uiPriority w:val="1"/>
    <w:pPr>
      <w:spacing w:after="0" w:line="400" w:lineRule="exact"/>
    </w:pPr>
    <w:rPr>
      <w:rFonts w:eastAsia="仿宋"/>
      <w:sz w:val="24"/>
    </w:rPr>
  </w:style>
  <w:style w:type="paragraph" w:styleId="4">
    <w:name w:val="footer"/>
    <w:basedOn w:val="1"/>
    <w:qFormat/>
    <w:uiPriority w:val="0"/>
    <w:pPr>
      <w:tabs>
        <w:tab w:val="center" w:pos="4153"/>
        <w:tab w:val="right" w:pos="8306"/>
      </w:tabs>
      <w:snapToGrid w:val="0"/>
      <w:jc w:val="left"/>
    </w:pPr>
    <w:rPr>
      <w:rFonts w:ascii="Times New Roman" w:hAnsi="Times New Roman"/>
      <w:sz w:val="18"/>
      <w:szCs w:val="18"/>
    </w:rPr>
  </w:style>
  <w:style w:type="paragraph" w:customStyle="1" w:styleId="7">
    <w:name w:val="Char"/>
    <w:basedOn w:val="1"/>
    <w:link w:val="6"/>
    <w:qFormat/>
    <w:uiPriority w:val="0"/>
  </w:style>
  <w:style w:type="character" w:styleId="8">
    <w:name w:val="page number"/>
    <w:qFormat/>
    <w:uiPriority w:val="0"/>
    <w:rPr>
      <w:rFonts w:cs="Times New Roman"/>
    </w:rPr>
  </w:style>
  <w:style w:type="character" w:customStyle="1" w:styleId="9">
    <w:name w:val="标题 1 Char"/>
    <w:basedOn w:val="6"/>
    <w:link w:val="3"/>
    <w:qFormat/>
    <w:uiPriority w:val="0"/>
    <w:rPr>
      <w:rFonts w:ascii="Times New Roman" w:hAnsi="Times New Roman" w:eastAsia="仿宋" w:cs="Times New Roman"/>
      <w:kern w:val="44"/>
      <w:sz w:val="28"/>
      <w:szCs w:val="20"/>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2019-09-23T09:42:00Z</dcterms:created>
  <dc:creator>o水晶</dc:creator>
  <cp:lastModifiedBy>o水晶</cp:lastModifiedBy>
  <dcterms:modified xsi:type="dcterms:W3CDTF">2019-09-23T09:43:21Z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2052-11.1.0.9005</vt:lpwstr>
  </property>
</Properties>
</file>